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B5" w:rsidRPr="008966BC" w:rsidRDefault="002F3B3B" w:rsidP="002F3B3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bookmarkStart w:id="0" w:name="_GoBack"/>
      <w:bookmarkEnd w:id="0"/>
      <w:r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V.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PREGLED</w:t>
      </w:r>
      <w:r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ODREDABA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VAŽEĆEG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ZAKONA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KOJE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SE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MENJAJU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ODNOSNO</w:t>
      </w:r>
      <w:r w:rsidR="000B70B5" w:rsidRP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DOPUNJUJU</w:t>
      </w:r>
    </w:p>
    <w:p w:rsidR="002F1C6A" w:rsidRPr="008966BC" w:rsidRDefault="002F1C6A" w:rsidP="002F1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F1C6A" w:rsidRPr="008966BC" w:rsidRDefault="002F1C6A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F1C6A" w:rsidRPr="008966BC" w:rsidRDefault="008966BC" w:rsidP="002F1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2F1C6A" w:rsidRPr="008966BC" w:rsidRDefault="008966BC" w:rsidP="002F1C6A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trgovačke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mornarice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druga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predviđeno</w:t>
      </w:r>
      <w:r w:rsidR="002F1C6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F1C6A" w:rsidRPr="008966BC" w:rsidRDefault="002F1C6A" w:rsidP="002F1C6A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         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ratne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B75D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="004B75DA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KORISTE</w:t>
      </w:r>
      <w:r w:rsidR="00EC173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SPECIJALNA</w:t>
      </w:r>
      <w:r w:rsidR="00EC173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C173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POSEBNE</w:t>
      </w:r>
      <w:r w:rsidR="00EC173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JEDINICE</w:t>
      </w:r>
      <w:r w:rsidR="005C11DE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POLICIJE</w:t>
      </w:r>
      <w:r w:rsidR="005C11DE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</w:t>
      </w:r>
      <w:r w:rsidR="005C11DE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UGRAĐENO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NAORUŽANJE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F1C6A" w:rsidRPr="008966BC" w:rsidRDefault="002F1C6A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992EDA" w:rsidRPr="008966BC" w:rsidRDefault="008966BC" w:rsidP="00191025">
      <w:pPr>
        <w:pStyle w:val="clan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605699" w:rsidRPr="008966BC">
        <w:rPr>
          <w:noProof/>
          <w:color w:val="000000"/>
          <w:lang w:val="sr-Latn-CS"/>
        </w:rPr>
        <w:t xml:space="preserve"> 10</w:t>
      </w:r>
      <w:r>
        <w:rPr>
          <w:noProof/>
          <w:color w:val="000000"/>
          <w:lang w:val="sr-Latn-CS"/>
        </w:rPr>
        <w:t>A</w:t>
      </w:r>
      <w:r w:rsidR="00605699" w:rsidRPr="008966BC">
        <w:rPr>
          <w:noProof/>
          <w:color w:val="000000"/>
          <w:lang w:val="sr-Latn-CS"/>
        </w:rPr>
        <w:t>.</w:t>
      </w:r>
    </w:p>
    <w:p w:rsidR="008B4DF6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SOPSTVENIM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POGONOM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OZNAKA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PLATFORME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IME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OZNAKA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2838D9" w:rsidRPr="008966BC">
        <w:rPr>
          <w:noProof/>
          <w:lang w:val="sr-Latn-CS"/>
        </w:rPr>
        <w:t xml:space="preserve">, ENI </w:t>
      </w:r>
      <w:r>
        <w:rPr>
          <w:noProof/>
          <w:lang w:val="sr-Latn-CS"/>
        </w:rPr>
        <w:t>BROJ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838D9" w:rsidRPr="008966BC">
        <w:rPr>
          <w:noProof/>
          <w:lang w:val="sr-Latn-CS"/>
        </w:rPr>
        <w:t xml:space="preserve">, IMO </w:t>
      </w:r>
      <w:r>
        <w:rPr>
          <w:noProof/>
          <w:lang w:val="sr-Latn-CS"/>
        </w:rPr>
        <w:t>BROJ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LUKA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DRUGI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ZNAKOVI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RASPOZNAVANJA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REGISTARSKI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IDENTIFIKACIJU</w:t>
      </w:r>
      <w:r w:rsidR="00AA1C5C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ČAMCA</w:t>
      </w:r>
      <w:r w:rsidR="00AA1C5C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1C5C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PLUTAJUĆEG</w:t>
      </w:r>
      <w:r w:rsidR="00AA1C5C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ISTICATI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PREPRAVLJATI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ZAMENJIVATI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IMENIMA</w:t>
      </w:r>
      <w:r w:rsidR="002838D9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OZNAKAMA</w:t>
      </w:r>
      <w:r w:rsidR="0082218E" w:rsidRPr="008966BC">
        <w:rPr>
          <w:noProof/>
          <w:lang w:val="sr-Latn-CS"/>
        </w:rPr>
        <w:t>,</w:t>
      </w:r>
      <w:r w:rsidR="002838D9" w:rsidRPr="008966BC">
        <w:rPr>
          <w:noProof/>
          <w:lang w:val="sr-Latn-CS"/>
        </w:rPr>
        <w:t xml:space="preserve"> ENI </w:t>
      </w:r>
      <w:r>
        <w:rPr>
          <w:noProof/>
          <w:lang w:val="sr-Latn-CS"/>
        </w:rPr>
        <w:t>BROJEVIMA</w:t>
      </w:r>
      <w:r w:rsidR="002838D9" w:rsidRPr="008966BC">
        <w:rPr>
          <w:noProof/>
          <w:lang w:val="sr-Latn-CS"/>
        </w:rPr>
        <w:t xml:space="preserve">, IMO </w:t>
      </w:r>
      <w:r>
        <w:rPr>
          <w:noProof/>
          <w:lang w:val="sr-Latn-CS"/>
        </w:rPr>
        <w:t>BROJEVIMA</w:t>
      </w:r>
      <w:r w:rsidR="001E4C64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E4C64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REGISTARSKIM</w:t>
      </w:r>
      <w:r w:rsidR="001E4C64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BROJEVIMA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IDENTIFIKACIJU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2838D9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838D9" w:rsidRPr="008966BC">
        <w:rPr>
          <w:noProof/>
          <w:lang w:val="sr-Latn-CS"/>
        </w:rPr>
        <w:t>.</w:t>
      </w:r>
    </w:p>
    <w:p w:rsidR="002838D9" w:rsidRPr="008966BC" w:rsidRDefault="002838D9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992EDA" w:rsidRPr="008966BC" w:rsidRDefault="008966BC" w:rsidP="00191025">
      <w:pPr>
        <w:pStyle w:val="clan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992EDA" w:rsidRPr="008966BC">
        <w:rPr>
          <w:noProof/>
          <w:color w:val="000000"/>
          <w:lang w:val="sr-Latn-CS"/>
        </w:rPr>
        <w:t xml:space="preserve"> 40. </w:t>
      </w:r>
    </w:p>
    <w:p w:rsidR="00992EDA" w:rsidRPr="008966BC" w:rsidRDefault="008966BC" w:rsidP="00191025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brod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mora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važeće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brodske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izdate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uprave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utvrđivanje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sposobnosti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priznatog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klasifikacionog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društva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ispunjava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plovidba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pravilima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što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vršenjem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nadzora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plovidba</w:t>
      </w:r>
      <w:r w:rsidR="00992EDA" w:rsidRPr="008966BC">
        <w:rPr>
          <w:noProof/>
          <w:color w:val="000000"/>
          <w:lang w:val="sr-Latn-CS"/>
        </w:rPr>
        <w:t>.</w:t>
      </w:r>
    </w:p>
    <w:p w:rsidR="00992EDA" w:rsidRPr="008966BC" w:rsidRDefault="008966BC" w:rsidP="00191025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jedan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pomorskih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pomorski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mora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važeće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brodske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izdate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priznate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organizacije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ispunjava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plovidba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sadržane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pravilima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brodove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što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vršenjem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nadzora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plovidba</w:t>
      </w:r>
      <w:r w:rsidR="00992EDA" w:rsidRPr="008966BC">
        <w:rPr>
          <w:noProof/>
          <w:color w:val="000000"/>
          <w:lang w:val="sr-Latn-CS"/>
        </w:rPr>
        <w:t>.</w:t>
      </w:r>
    </w:p>
    <w:p w:rsidR="008B4DF6" w:rsidRPr="008966BC" w:rsidRDefault="008966BC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8819B9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POMORSKOG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PRIZNATA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IZDAJE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SVEDOČANSTVO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BRODSKE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TAJ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ISTIM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ČIJEM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UPISNIKU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TAJ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PROPISANI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ODOBRENA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IZUZEĆA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92EDA" w:rsidRPr="008966BC" w:rsidRDefault="008966BC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OBNOVE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PRODUŽENJA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VAŽNOSTI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SVEDOČANSTAVA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BRODSKIH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PRIZNATA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NEĆE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ZAHTEVATI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DRUGAČIJE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ONIH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VAŽILI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ČIJEM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UPISNIKU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OSTALI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NEPROMENJENI</w:t>
      </w:r>
      <w:r w:rsidR="008B4DF6" w:rsidRPr="008966BC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992EDA" w:rsidRPr="008966BC" w:rsidRDefault="008966BC" w:rsidP="00605699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Vlada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najvišu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dopušten</w:t>
      </w:r>
      <w:r w:rsidR="00992EDA" w:rsidRPr="008966BC">
        <w:rPr>
          <w:noProof/>
          <w:color w:val="000000"/>
          <w:lang w:val="sr-Latn-CS"/>
        </w:rPr>
        <w:t xml:space="preserve">y </w:t>
      </w:r>
      <w:r>
        <w:rPr>
          <w:noProof/>
          <w:color w:val="000000"/>
          <w:lang w:val="sr-Latn-CS"/>
        </w:rPr>
        <w:t>starost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jedan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605699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>.</w:t>
      </w:r>
    </w:p>
    <w:p w:rsidR="00CE01BB" w:rsidRPr="008966BC" w:rsidRDefault="00CE01BB" w:rsidP="00605699">
      <w:pPr>
        <w:pStyle w:val="NormalWeb"/>
        <w:spacing w:before="0" w:beforeAutospacing="0" w:after="0" w:afterAutospacing="0"/>
        <w:jc w:val="both"/>
        <w:rPr>
          <w:noProof/>
          <w:color w:val="000000"/>
          <w:lang w:val="sr-Latn-CS"/>
        </w:rPr>
      </w:pPr>
    </w:p>
    <w:p w:rsidR="00191025" w:rsidRPr="008966BC" w:rsidRDefault="008966BC" w:rsidP="00CE01BB">
      <w:pPr>
        <w:pStyle w:val="NormalWeb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191025" w:rsidRPr="008966BC">
        <w:rPr>
          <w:noProof/>
          <w:color w:val="000000"/>
          <w:lang w:val="sr-Latn-CS"/>
        </w:rPr>
        <w:t xml:space="preserve"> 42.</w:t>
      </w:r>
    </w:p>
    <w:p w:rsidR="00191025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vlasnik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brodar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osnovano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sedištem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članici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EEP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fizičko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državljanin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članice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EEP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prebivalište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članici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EEP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kontrolom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ogranka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registrovanog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preko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koga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lice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delatnost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Republici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Srbiji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Brod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ispunjava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41.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191025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propisane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usklađen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tehničkim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zahtevima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državama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članicama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Evropske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unije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stiče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status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rajnskog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plovila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upisuje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brodsko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svedočanstvo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svedočanstvo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sposobnosti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plovidbu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Brodu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191025" w:rsidRPr="008966BC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potvrđuje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status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rajnskog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plovila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Konvencijom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rekom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Rajnom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naknadnim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izmenama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dopunama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koja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mora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nalazi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brodu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Isprava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191025" w:rsidRPr="008966BC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između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ostalog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sadrži</w:t>
      </w:r>
      <w:r w:rsidR="00191025" w:rsidRPr="008966BC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ime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191025" w:rsidRPr="008966BC">
        <w:rPr>
          <w:noProof/>
          <w:color w:val="000000"/>
          <w:lang w:val="sr-Latn-CS"/>
        </w:rPr>
        <w:t xml:space="preserve">; ENI </w:t>
      </w:r>
      <w:r>
        <w:rPr>
          <w:noProof/>
          <w:color w:val="000000"/>
          <w:lang w:val="sr-Latn-CS"/>
        </w:rPr>
        <w:t>broj</w:t>
      </w:r>
      <w:r w:rsidR="00191025" w:rsidRPr="008966BC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luku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191025" w:rsidRPr="008966BC">
        <w:rPr>
          <w:noProof/>
          <w:color w:val="000000"/>
          <w:lang w:val="sr-Latn-CS"/>
        </w:rPr>
        <w:t xml:space="preserve">; </w:t>
      </w:r>
      <w:r>
        <w:rPr>
          <w:noProof/>
          <w:color w:val="000000"/>
          <w:lang w:val="sr-Latn-CS"/>
        </w:rPr>
        <w:t>tehničke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karakteristike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prezime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naziv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prebivalište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sedište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vlasnika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brodara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Vlasnik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brodar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dužan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odmah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pisanim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putem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obavesti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promeni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prestanku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ispunjenosti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191025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vrati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brodsko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svedočanstvo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41.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191025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shodno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plovnog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191025" w:rsidRPr="008966BC">
        <w:rPr>
          <w:noProof/>
          <w:color w:val="000000"/>
          <w:lang w:val="sr-Latn-CS"/>
        </w:rPr>
        <w:t>.</w:t>
      </w:r>
    </w:p>
    <w:p w:rsidR="00191025" w:rsidRPr="008966BC" w:rsidRDefault="00191025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0C342A" w:rsidRPr="008966BC" w:rsidRDefault="000C342A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191025" w:rsidRPr="008966BC" w:rsidRDefault="008966BC" w:rsidP="000C342A">
      <w:pPr>
        <w:pStyle w:val="NormalWeb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191025" w:rsidRPr="008966BC">
        <w:rPr>
          <w:noProof/>
          <w:color w:val="000000"/>
          <w:lang w:val="sr-Latn-CS"/>
        </w:rPr>
        <w:t xml:space="preserve"> 43.</w:t>
      </w:r>
    </w:p>
    <w:p w:rsidR="00191025" w:rsidRPr="008966BC" w:rsidRDefault="008966BC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Nacionalni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pomorskih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191025" w:rsidRPr="008966BC">
        <w:rPr>
          <w:noProof/>
          <w:color w:val="000000"/>
          <w:lang w:val="sr-Latn-CS"/>
        </w:rPr>
        <w:t>:</w:t>
      </w:r>
    </w:p>
    <w:p w:rsidR="00191025" w:rsidRPr="008966BC" w:rsidRDefault="00191025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 w:rsidRPr="008966BC">
        <w:rPr>
          <w:noProof/>
          <w:color w:val="000000"/>
          <w:lang w:val="sr-Latn-CS"/>
        </w:rPr>
        <w:t xml:space="preserve">1) </w:t>
      </w:r>
      <w:r w:rsidR="008966BC">
        <w:rPr>
          <w:noProof/>
          <w:color w:val="000000"/>
          <w:lang w:val="sr-Latn-CS"/>
        </w:rPr>
        <w:t>pomorski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čiji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vlasnik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sedištem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odnosno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fizičko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domaći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državljanin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prebivalištem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>;</w:t>
      </w:r>
    </w:p>
    <w:p w:rsidR="00191025" w:rsidRPr="008966BC" w:rsidRDefault="00191025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 w:rsidRPr="008966BC">
        <w:rPr>
          <w:noProof/>
          <w:color w:val="000000"/>
          <w:lang w:val="sr-Latn-CS"/>
        </w:rPr>
        <w:t xml:space="preserve">2) </w:t>
      </w:r>
      <w:r w:rsidR="008966BC">
        <w:rPr>
          <w:noProof/>
          <w:color w:val="000000"/>
          <w:lang w:val="sr-Latn-CS"/>
        </w:rPr>
        <w:t>pomorski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čiji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vlasnik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sedištem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članici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Evropske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EEP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odnosno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fizičko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državljanin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članice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Evropske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EEP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ako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kompanija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tog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sedištem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ili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domaći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državljanin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ima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prebivalište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pod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uslovom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zahtevom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domaće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kompanije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za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upis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tog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upisnik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brodova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saglasi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njegov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vlasnik</w:t>
      </w:r>
      <w:r w:rsidRPr="008966BC">
        <w:rPr>
          <w:noProof/>
          <w:color w:val="000000"/>
          <w:lang w:val="sr-Latn-CS"/>
        </w:rPr>
        <w:t>;</w:t>
      </w:r>
    </w:p>
    <w:p w:rsidR="00191025" w:rsidRPr="008966BC" w:rsidRDefault="00191025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 w:rsidRPr="008966BC">
        <w:rPr>
          <w:noProof/>
          <w:color w:val="000000"/>
          <w:lang w:val="sr-Latn-CS"/>
        </w:rPr>
        <w:t xml:space="preserve">3) </w:t>
      </w:r>
      <w:r w:rsidR="008966BC">
        <w:rPr>
          <w:noProof/>
          <w:color w:val="000000"/>
          <w:lang w:val="sr-Latn-CS"/>
        </w:rPr>
        <w:t>pomorski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čiji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vlasnik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kompanija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osnovano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prema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propisima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sedištem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članici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Evropske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EEP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odnosno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fizičko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državljanin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članice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Evropske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EEP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ima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prebivalište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članici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Evropske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unije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EEP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pod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uslovom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pomorski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kontrolom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ogranka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tog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stranog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lica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registrovanog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preko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koga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obavlja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delatnost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>;</w:t>
      </w:r>
    </w:p>
    <w:p w:rsidR="00191025" w:rsidRPr="008966BC" w:rsidRDefault="00191025" w:rsidP="000C342A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 w:rsidRPr="008966BC">
        <w:rPr>
          <w:noProof/>
          <w:color w:val="000000"/>
          <w:lang w:val="sr-Latn-CS"/>
        </w:rPr>
        <w:t xml:space="preserve">4) </w:t>
      </w:r>
      <w:r w:rsidR="008966BC">
        <w:rPr>
          <w:noProof/>
          <w:color w:val="000000"/>
          <w:lang w:val="sr-Latn-CS"/>
        </w:rPr>
        <w:t>pomorski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nalazi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susvojini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ako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je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najmanje</w:t>
      </w:r>
      <w:r w:rsidRPr="008966BC">
        <w:rPr>
          <w:noProof/>
          <w:color w:val="000000"/>
          <w:lang w:val="sr-Latn-CS"/>
        </w:rPr>
        <w:t xml:space="preserve"> 51 </w:t>
      </w:r>
      <w:r w:rsidR="008966BC">
        <w:rPr>
          <w:noProof/>
          <w:color w:val="000000"/>
          <w:lang w:val="sr-Latn-CS"/>
        </w:rPr>
        <w:t>posto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suvlasničkih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udela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odnosno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karata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na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pomorskom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brodu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svojini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pravnih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sedištem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 xml:space="preserve">, </w:t>
      </w:r>
      <w:r w:rsidR="008966BC">
        <w:rPr>
          <w:noProof/>
          <w:color w:val="000000"/>
          <w:lang w:val="sr-Latn-CS"/>
        </w:rPr>
        <w:t>odnosno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fizičkih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lica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koji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domaći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državljani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sa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prebivalištem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u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Republici</w:t>
      </w:r>
      <w:r w:rsidRPr="008966BC">
        <w:rPr>
          <w:noProof/>
          <w:color w:val="000000"/>
          <w:lang w:val="sr-Latn-CS"/>
        </w:rPr>
        <w:t xml:space="preserve"> </w:t>
      </w:r>
      <w:r w:rsidR="008966BC">
        <w:rPr>
          <w:noProof/>
          <w:color w:val="000000"/>
          <w:lang w:val="sr-Latn-CS"/>
        </w:rPr>
        <w:t>Srbiji</w:t>
      </w:r>
      <w:r w:rsidRPr="008966BC">
        <w:rPr>
          <w:noProof/>
          <w:color w:val="000000"/>
          <w:lang w:val="sr-Latn-CS"/>
        </w:rPr>
        <w:t>.</w:t>
      </w:r>
    </w:p>
    <w:p w:rsidR="0004474E" w:rsidRPr="008966BC" w:rsidRDefault="008966BC" w:rsidP="000C342A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shodno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nepokretne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platforme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pomorskog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tehničkog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plovnog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objekta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191025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191025" w:rsidRPr="008966BC">
        <w:rPr>
          <w:noProof/>
          <w:color w:val="000000"/>
          <w:lang w:val="sr-Latn-CS"/>
        </w:rPr>
        <w:t>.</w:t>
      </w:r>
    </w:p>
    <w:p w:rsidR="009C47E3" w:rsidRPr="008966BC" w:rsidRDefault="009C47E3" w:rsidP="000C342A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</w:p>
    <w:p w:rsidR="009C47E3" w:rsidRPr="008966BC" w:rsidRDefault="008966BC" w:rsidP="009C47E3">
      <w:pPr>
        <w:pStyle w:val="NormalWeb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Član</w:t>
      </w:r>
      <w:r w:rsidR="009C47E3" w:rsidRPr="008966BC">
        <w:rPr>
          <w:noProof/>
          <w:color w:val="000000"/>
          <w:lang w:val="sr-Latn-CS"/>
        </w:rPr>
        <w:t xml:space="preserve"> 56.</w:t>
      </w:r>
    </w:p>
    <w:p w:rsidR="009C47E3" w:rsidRPr="008966BC" w:rsidRDefault="008966BC" w:rsidP="009C47E3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plovila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gradnji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C47E3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vlasnika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9C47E3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jahte</w:t>
      </w:r>
      <w:r w:rsidR="009C47E3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upisati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9C47E3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jahta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gradi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domaćem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brodogradilištu</w:t>
      </w:r>
      <w:r w:rsidR="009C47E3" w:rsidRPr="008966BC">
        <w:rPr>
          <w:noProof/>
          <w:color w:val="000000"/>
          <w:lang w:val="sr-Latn-CS"/>
        </w:rPr>
        <w:t>.</w:t>
      </w:r>
    </w:p>
    <w:p w:rsidR="009C47E3" w:rsidRPr="008966BC" w:rsidRDefault="008966BC" w:rsidP="009C47E3">
      <w:pPr>
        <w:pStyle w:val="NormalWeb"/>
        <w:spacing w:before="0" w:beforeAutospacing="0" w:after="0" w:afterAutospacing="0"/>
        <w:ind w:firstLine="475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9C47E3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shodno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primenjuju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upisnike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čamaca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plutajućih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objekata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C47E3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gradnji</w:t>
      </w:r>
      <w:r w:rsidR="009C47E3" w:rsidRPr="008966BC">
        <w:rPr>
          <w:noProof/>
          <w:color w:val="000000"/>
          <w:lang w:val="sr-Latn-CS"/>
        </w:rPr>
        <w:t>.</w:t>
      </w:r>
    </w:p>
    <w:p w:rsidR="000C342A" w:rsidRPr="008966BC" w:rsidRDefault="000C342A" w:rsidP="00191025">
      <w:pPr>
        <w:pStyle w:val="NormalWeb"/>
        <w:spacing w:before="0" w:beforeAutospacing="0" w:after="0" w:afterAutospacing="0"/>
        <w:jc w:val="both"/>
        <w:rPr>
          <w:noProof/>
          <w:color w:val="000000"/>
          <w:lang w:val="sr-Latn-CS"/>
        </w:rPr>
      </w:pPr>
    </w:p>
    <w:p w:rsidR="00992EDA" w:rsidRPr="008966BC" w:rsidRDefault="008966BC" w:rsidP="00191025">
      <w:pPr>
        <w:pStyle w:val="clan"/>
        <w:spacing w:before="0" w:beforeAutospacing="0" w:after="0" w:afterAutospacing="0"/>
        <w:ind w:firstLine="475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992EDA" w:rsidRPr="008966BC">
        <w:rPr>
          <w:noProof/>
          <w:color w:val="000000"/>
          <w:lang w:val="sr-Latn-CS"/>
        </w:rPr>
        <w:t xml:space="preserve"> 60. </w:t>
      </w:r>
    </w:p>
    <w:p w:rsidR="00992EDA" w:rsidRPr="008966BC" w:rsidRDefault="008966BC" w:rsidP="00191025">
      <w:pPr>
        <w:pStyle w:val="NormalWeb"/>
        <w:spacing w:before="0" w:beforeAutospacing="0" w:after="0" w:afterAutospacing="0"/>
        <w:ind w:firstLine="63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list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uloška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glavne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knjige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podnosilac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kojih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nesumnjivo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dokazuje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brodu</w:t>
      </w:r>
      <w:r w:rsidR="00992EDA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organ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zaključkom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REŠENJEM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naložiti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podnosiocu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cilju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rešavanja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utvrđivanje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odrediti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dužan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taj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priloži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dokaz</w:t>
      </w:r>
      <w:r w:rsidR="00992EDA" w:rsidRPr="008966BC">
        <w:rPr>
          <w:noProof/>
          <w:color w:val="000000"/>
          <w:lang w:val="sr-Latn-CS"/>
        </w:rPr>
        <w:t>.</w:t>
      </w:r>
    </w:p>
    <w:p w:rsidR="00992EDA" w:rsidRPr="008966BC" w:rsidRDefault="008966BC" w:rsidP="00191025">
      <w:pPr>
        <w:pStyle w:val="NormalWeb"/>
        <w:spacing w:before="0" w:beforeAutospacing="0" w:after="0" w:afterAutospacing="0"/>
        <w:ind w:firstLine="63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podnosilac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dokaz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pokrenuo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992EDA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smatraće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se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da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je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odustao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podnete</w:t>
      </w:r>
      <w:r w:rsidR="00992EDA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prijave</w:t>
      </w:r>
      <w:r w:rsidR="00992EDA" w:rsidRPr="008966BC">
        <w:rPr>
          <w:strike/>
          <w:noProof/>
          <w:color w:val="000000"/>
          <w:lang w:val="sr-Latn-CS"/>
        </w:rPr>
        <w:t xml:space="preserve">, </w:t>
      </w:r>
      <w:r>
        <w:rPr>
          <w:strike/>
          <w:noProof/>
          <w:color w:val="000000"/>
          <w:lang w:val="sr-Latn-CS"/>
        </w:rPr>
        <w:t>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obustaviti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992EDA" w:rsidRPr="008966BC">
        <w:rPr>
          <w:noProof/>
          <w:color w:val="000000"/>
          <w:lang w:val="sr-Latn-CS"/>
        </w:rPr>
        <w:t>.</w:t>
      </w:r>
    </w:p>
    <w:p w:rsidR="00992EDA" w:rsidRPr="008966BC" w:rsidRDefault="008966BC" w:rsidP="00191025">
      <w:pPr>
        <w:pStyle w:val="NormalWeb"/>
        <w:spacing w:before="0" w:beforeAutospacing="0" w:after="0" w:afterAutospacing="0"/>
        <w:ind w:firstLine="63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Postupak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list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uloška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glavne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knjige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prekinut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rešavanja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svojine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brodu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nadležnim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sudom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nastaviće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nakon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pravosnažnog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odlučivanja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</w:t>
      </w:r>
      <w:r w:rsidR="00992EDA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pitanju</w:t>
      </w:r>
      <w:r w:rsidR="00992EDA" w:rsidRPr="008966BC">
        <w:rPr>
          <w:noProof/>
          <w:color w:val="000000"/>
          <w:lang w:val="sr-Latn-CS"/>
        </w:rPr>
        <w:t>.</w:t>
      </w:r>
    </w:p>
    <w:p w:rsidR="00693BDE" w:rsidRPr="008966BC" w:rsidRDefault="008966BC" w:rsidP="00191025">
      <w:pPr>
        <w:spacing w:after="0" w:line="240" w:lineRule="auto"/>
        <w:ind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JAHTI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ČAMACA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PLUTAJUĆIH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693BD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7195" w:rsidRPr="008966BC" w:rsidRDefault="00A27195" w:rsidP="00191025">
      <w:pPr>
        <w:spacing w:after="0" w:line="240" w:lineRule="auto"/>
        <w:ind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27195" w:rsidRPr="008966BC" w:rsidRDefault="008966BC" w:rsidP="00A2719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75.</w:t>
      </w:r>
    </w:p>
    <w:p w:rsidR="00CE01BB" w:rsidRPr="008966BC" w:rsidRDefault="008966BC" w:rsidP="00CE01BB">
      <w:pPr>
        <w:spacing w:after="0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postupku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upisivanja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upisnik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brodova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pitanja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nisu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uređena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ovim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zakonom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shodno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primenjuju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odredbe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kojima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uređuje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upravni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postupak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ako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ovim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zakonom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nije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drugačije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određeno</w:t>
      </w:r>
      <w:r w:rsidR="00CE01BB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A27195" w:rsidRPr="008966BC" w:rsidRDefault="008966BC" w:rsidP="00A2719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UPISIVANJA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DRUGAČIJE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7195" w:rsidRPr="008966BC" w:rsidRDefault="008966BC" w:rsidP="00A27195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VOĐENJA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EVIDENCIJA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A2719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85457" w:rsidRPr="008966BC" w:rsidRDefault="00685457" w:rsidP="001910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EC173D" w:rsidRPr="008966BC" w:rsidRDefault="00EC173D" w:rsidP="001910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EC173D" w:rsidRPr="008966BC" w:rsidRDefault="00EC173D" w:rsidP="001910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EC173D" w:rsidRPr="008966BC" w:rsidRDefault="00EC173D" w:rsidP="001910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693BDE" w:rsidRPr="008966BC" w:rsidRDefault="008966BC" w:rsidP="00191025">
      <w:pPr>
        <w:pStyle w:val="clan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693BDE" w:rsidRPr="008966BC">
        <w:rPr>
          <w:noProof/>
          <w:color w:val="000000"/>
          <w:lang w:val="sr-Latn-CS"/>
        </w:rPr>
        <w:t xml:space="preserve"> 77.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strike/>
          <w:noProof/>
          <w:color w:val="000000"/>
          <w:lang w:val="sr-Latn-CS"/>
        </w:rPr>
      </w:pPr>
      <w:r>
        <w:rPr>
          <w:strike/>
          <w:noProof/>
          <w:color w:val="000000"/>
          <w:lang w:val="sr-Latn-CS"/>
        </w:rPr>
        <w:t>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postupku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upisivanja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upisnik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brodova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organ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koji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vodi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upisnik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brodova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donosi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odluke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obliku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rešenja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kada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odlučuje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pravu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ili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obavezi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određene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stranke</w:t>
      </w:r>
      <w:r w:rsidR="00693BDE" w:rsidRPr="008966BC">
        <w:rPr>
          <w:strike/>
          <w:noProof/>
          <w:color w:val="000000"/>
          <w:lang w:val="sr-Latn-CS"/>
        </w:rPr>
        <w:t xml:space="preserve">, </w:t>
      </w:r>
      <w:r>
        <w:rPr>
          <w:strike/>
          <w:noProof/>
          <w:color w:val="000000"/>
          <w:lang w:val="sr-Latn-CS"/>
        </w:rPr>
        <w:t>dok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zaključkom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odlučuje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o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pitanjima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koja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tiču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postupka</w:t>
      </w:r>
      <w:r w:rsidR="00693BDE" w:rsidRPr="008966BC">
        <w:rPr>
          <w:strike/>
          <w:noProof/>
          <w:color w:val="000000"/>
          <w:lang w:val="sr-Latn-CS"/>
        </w:rPr>
        <w:t xml:space="preserve">, </w:t>
      </w:r>
      <w:r>
        <w:rPr>
          <w:strike/>
          <w:noProof/>
          <w:color w:val="000000"/>
          <w:lang w:val="sr-Latn-CS"/>
        </w:rPr>
        <w:t>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koja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ne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rešavaju</w:t>
      </w:r>
      <w:r w:rsidR="00693BDE" w:rsidRPr="008966BC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rešenjem</w:t>
      </w:r>
      <w:r w:rsidR="00693BDE" w:rsidRPr="008966BC">
        <w:rPr>
          <w:strike/>
          <w:noProof/>
          <w:color w:val="000000"/>
          <w:lang w:val="sr-Latn-CS"/>
        </w:rPr>
        <w:t>.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strike/>
          <w:noProof/>
          <w:color w:val="000000"/>
          <w:lang w:val="sr-Latn-CS"/>
        </w:rPr>
      </w:pPr>
      <w:r>
        <w:rPr>
          <w:noProof/>
          <w:lang w:val="sr-Latn-CS"/>
        </w:rPr>
        <w:t>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UPISIVANJA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693BDE" w:rsidRPr="008966BC">
        <w:rPr>
          <w:noProof/>
          <w:lang w:val="sr-Latn-CS"/>
        </w:rPr>
        <w:t xml:space="preserve">  </w:t>
      </w:r>
      <w:r>
        <w:rPr>
          <w:noProof/>
          <w:lang w:val="sr-Latn-CS"/>
        </w:rPr>
        <w:t>BRODOVA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693BDE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INTERESU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STRANKE</w:t>
      </w:r>
      <w:r w:rsidR="00693BDE" w:rsidRPr="008966BC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ZAKLJUČKOM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POSTUPKOM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693BDE" w:rsidRPr="008966B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693BDE" w:rsidRPr="008966BC">
        <w:rPr>
          <w:noProof/>
          <w:lang w:val="sr-Latn-CS"/>
        </w:rPr>
        <w:t>.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lastRenderedPageBreak/>
        <w:t>Upis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sadrži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upisu</w:t>
      </w:r>
      <w:r w:rsidR="00693BDE" w:rsidRPr="008966BC">
        <w:rPr>
          <w:noProof/>
          <w:color w:val="000000"/>
          <w:lang w:val="sr-Latn-CS"/>
        </w:rPr>
        <w:t>.</w:t>
      </w:r>
    </w:p>
    <w:p w:rsidR="00065637" w:rsidRPr="008966BC" w:rsidRDefault="00065637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CE01BB" w:rsidRPr="008966BC" w:rsidRDefault="00CE01BB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065637" w:rsidRPr="008966BC" w:rsidRDefault="008966BC" w:rsidP="00065637">
      <w:pPr>
        <w:pStyle w:val="NormalWeb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065637" w:rsidRPr="008966BC">
        <w:rPr>
          <w:noProof/>
          <w:color w:val="000000"/>
          <w:lang w:val="sr-Latn-CS"/>
        </w:rPr>
        <w:t xml:space="preserve"> 83.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Predlog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podnosi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lučkoj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065637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moraju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prilože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dokazuje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postoje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pretpostavke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065637" w:rsidRPr="008966BC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Kada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kapetanije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doneće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uslovno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priznaje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stranci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garantni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</w:t>
      </w:r>
      <w:r w:rsidR="00065637" w:rsidRPr="008966BC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isto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izvodom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</w:t>
      </w:r>
      <w:r w:rsidR="00065637" w:rsidRPr="008966BC">
        <w:rPr>
          <w:noProof/>
          <w:color w:val="000000"/>
          <w:lang w:val="sr-Latn-CS"/>
        </w:rPr>
        <w:t>a</w:t>
      </w:r>
      <w:r>
        <w:rPr>
          <w:noProof/>
          <w:color w:val="000000"/>
          <w:lang w:val="sr-Latn-CS"/>
        </w:rPr>
        <w:t>m</w:t>
      </w:r>
      <w:r w:rsidR="00065637" w:rsidRPr="008966BC">
        <w:rPr>
          <w:noProof/>
          <w:color w:val="000000"/>
          <w:lang w:val="sr-Latn-CS"/>
        </w:rPr>
        <w:t xml:space="preserve">a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065637" w:rsidRPr="008966BC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upućuje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lučkoj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Kada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treba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upiše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065637" w:rsidRPr="008966BC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donese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rešenje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tome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dostaviće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lučkoj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čijem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brisanja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čijeg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briše</w:t>
      </w:r>
      <w:r w:rsidR="00065637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sprovešće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brisanja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lučkoj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upisuje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zbirku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brisan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Rešenje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065637" w:rsidRPr="008966BC">
        <w:rPr>
          <w:noProof/>
          <w:color w:val="000000"/>
          <w:lang w:val="sr-Latn-CS"/>
        </w:rPr>
        <w:t xml:space="preserve"> 3.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obavezuje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treba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upiše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opravdano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odbije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Lučka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dozvoliti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kojom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dokazuje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promeniti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luku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upisati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luci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nalazi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području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upisan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8966BC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shodno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primenjivati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slučaj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podnet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prenos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unutrašnje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plovidbe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jednog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upisnika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kod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lučke</w:t>
      </w:r>
      <w:r w:rsidR="00065637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kapetanije</w:t>
      </w:r>
      <w:r w:rsidR="00065637" w:rsidRPr="008966BC">
        <w:rPr>
          <w:noProof/>
          <w:color w:val="000000"/>
          <w:lang w:val="sr-Latn-CS"/>
        </w:rPr>
        <w:t>.</w:t>
      </w:r>
    </w:p>
    <w:p w:rsidR="00065637" w:rsidRPr="008966BC" w:rsidRDefault="00065637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EC173D" w:rsidRPr="008966BC" w:rsidRDefault="00EC173D" w:rsidP="00065637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</w:p>
    <w:p w:rsidR="00065637" w:rsidRPr="008966BC" w:rsidRDefault="008966BC" w:rsidP="000656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87.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originalnih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priloženih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prepisa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proizlazi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traženju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moglo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udovoljiti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bila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podneta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očuvanja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prvenstva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odrediti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zabeležbu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napomenu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stigne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Istovremeno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predlagaču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odrediti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primeren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koga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nalazi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službenoj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dužan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pošalje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naknadno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dostavi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bude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podneta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rešavaće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samoj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stvari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određenom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produženom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bude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podneta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odbaciće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službenoj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odrediće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zabeležbe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Izuzetno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oceni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postoje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opravdani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dopusti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stranog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poslata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telefaksom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time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dostavu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originalne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priloženih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proizlazi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traženju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moglo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udovoljiti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kad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izvorna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bila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priložena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odbiti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065637" w:rsidRPr="008966BC" w:rsidRDefault="008966BC" w:rsidP="000656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shodno</w:t>
      </w:r>
      <w:r w:rsidR="00065637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prijave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gradnji</w:t>
      </w:r>
      <w:r w:rsidR="0006563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93BDE" w:rsidRPr="008966BC" w:rsidRDefault="00693BDE" w:rsidP="0019102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693BDE" w:rsidRPr="008966BC" w:rsidRDefault="008966BC" w:rsidP="00191025">
      <w:pPr>
        <w:pStyle w:val="clan"/>
        <w:spacing w:before="0" w:beforeAutospacing="0" w:after="0" w:afterAutospacing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693BDE" w:rsidRPr="008966BC">
        <w:rPr>
          <w:noProof/>
          <w:color w:val="000000"/>
          <w:lang w:val="sr-Latn-CS"/>
        </w:rPr>
        <w:t xml:space="preserve"> 88.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nije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priložen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prevod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isprave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sastavljena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stranom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jeziku</w:t>
      </w:r>
      <w:r w:rsidR="00693BDE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podneska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proizilazi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traženje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treba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odbiti</w:t>
      </w:r>
      <w:r w:rsidR="00693BDE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organ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brodova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očuvanja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reda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prvenstva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odnosnog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odrediti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zabeležbu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predloga</w:t>
      </w:r>
      <w:r w:rsidR="00693BDE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prijave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napomenu</w:t>
      </w:r>
      <w:r w:rsidR="00693BDE" w:rsidRPr="008966BC">
        <w:rPr>
          <w:noProof/>
          <w:color w:val="000000"/>
          <w:lang w:val="sr-Latn-CS"/>
        </w:rPr>
        <w:t xml:space="preserve"> „</w:t>
      </w:r>
      <w:r>
        <w:rPr>
          <w:noProof/>
          <w:color w:val="000000"/>
          <w:lang w:val="sr-Latn-CS"/>
        </w:rPr>
        <w:t>dok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stigne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prevod</w:t>
      </w:r>
      <w:r w:rsidR="00693BDE" w:rsidRPr="008966BC">
        <w:rPr>
          <w:noProof/>
          <w:color w:val="000000"/>
          <w:lang w:val="sr-Latn-CS"/>
        </w:rPr>
        <w:t xml:space="preserve">”. 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Organ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vodi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upisnik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će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istovremeno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odrediti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predlagaču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primeren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kome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mora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prevod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podneska</w:t>
      </w:r>
      <w:r w:rsidR="00693BDE" w:rsidRPr="008966BC">
        <w:rPr>
          <w:noProof/>
          <w:color w:val="000000"/>
          <w:lang w:val="sr-Latn-CS"/>
        </w:rPr>
        <w:t xml:space="preserve">. </w:t>
      </w:r>
    </w:p>
    <w:p w:rsidR="00693BDE" w:rsidRPr="008966BC" w:rsidRDefault="008966BC" w:rsidP="00191025">
      <w:pPr>
        <w:pStyle w:val="NormalWeb"/>
        <w:spacing w:before="0" w:beforeAutospacing="0" w:after="0" w:afterAutospacing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Ako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prevod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bude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podnesen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određenom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produženom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roku</w:t>
      </w:r>
      <w:r w:rsidR="00693BDE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rešavaće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samoj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stvari</w:t>
      </w:r>
      <w:r w:rsidR="00693BDE" w:rsidRPr="008966B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protivnom</w:t>
      </w:r>
      <w:r w:rsidR="00693BDE" w:rsidRPr="008966BC">
        <w:rPr>
          <w:noProof/>
          <w:color w:val="000000"/>
          <w:lang w:val="sr-Latn-CS"/>
        </w:rPr>
        <w:t xml:space="preserve"> – </w:t>
      </w:r>
      <w:r>
        <w:rPr>
          <w:noProof/>
          <w:color w:val="000000"/>
          <w:lang w:val="sr-Latn-CS"/>
        </w:rPr>
        <w:t>prijava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predlog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odbaciće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REŠENJEM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službenoj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dužnosti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odrediće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brisanje</w:t>
      </w:r>
      <w:r w:rsidR="00693BDE" w:rsidRPr="008966B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zabeležbe</w:t>
      </w:r>
      <w:r w:rsidR="00693BDE" w:rsidRPr="008966BC">
        <w:rPr>
          <w:noProof/>
          <w:color w:val="000000"/>
          <w:lang w:val="sr-Latn-CS"/>
        </w:rPr>
        <w:t>.</w:t>
      </w:r>
    </w:p>
    <w:p w:rsidR="00693BDE" w:rsidRPr="008966BC" w:rsidRDefault="00693BDE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57285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104.</w:t>
      </w:r>
    </w:p>
    <w:p w:rsidR="00757285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ništa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učiniti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nečitljivim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757285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vreme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upisivanja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uoči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ispraviti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registrator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učinjena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upisivanju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bude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precrtana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tako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ostane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čitljiva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757285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uoči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izvršenom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registrator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imala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kakvu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posledicu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saslušati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učesnike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757285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Pokretanje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zabeležiće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listu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kome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izvršen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pogrešan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zabeležba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sprečava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ispravljanje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kasnijih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757285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zaključak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ispravkom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greške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postane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konačan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KONAČNO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zabeležba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briše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službenoj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dužnosti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93BDE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Ispravke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pogrešnih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moraju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datum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potpis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registratora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pečat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757285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93BDE" w:rsidRPr="008966BC" w:rsidRDefault="00693BDE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916F3F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113.</w:t>
      </w:r>
    </w:p>
    <w:p w:rsidR="00916F3F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Odredbe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109.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primenjuju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916F3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916F3F" w:rsidRPr="008966BC" w:rsidRDefault="00916F3F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teretne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500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više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izgrađene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25.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maja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1980.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datuma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izdata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svedočanstva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članica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priznatih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priznatih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komisije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potvrđuje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SOLAS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Konvencije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tankere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hemikalija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tankere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gasa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Međunarodnim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pravilnikom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opremanju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opasnih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hemikalija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razlivenom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(IBC Code),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izmenama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dopunama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Pravilnikom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Međunarodne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organizacije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opremanju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opasnih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hemikalija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razlivenom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(BHC Code),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Pravilnikom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opremanju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prevoz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utečnjenih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gasova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razlivenom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(IGC Code),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izmenama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dopunama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izgrađene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25.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maja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1980.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693BDE" w:rsidRPr="008966BC" w:rsidRDefault="00916F3F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putničke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izgrađene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1998.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datuma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izdata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svedočanstva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članica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priznatih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organizacija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priznatih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Evropske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komisije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potvrđuje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izgrađene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1998.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SOLAS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Konvencije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8B4DF6" w:rsidRPr="008966BC" w:rsidRDefault="008966BC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5E392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="005E3925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 109–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8B4DF6" w:rsidRPr="008966BC" w:rsidRDefault="008B4DF6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TERETNE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MANJE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 BT;</w:t>
      </w:r>
    </w:p>
    <w:p w:rsidR="008B4DF6" w:rsidRPr="008966BC" w:rsidRDefault="008B4DF6" w:rsidP="00191025">
      <w:pPr>
        <w:spacing w:after="0" w:line="240" w:lineRule="auto"/>
        <w:ind w:firstLine="36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RATNE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B4DF6" w:rsidRPr="008966BC" w:rsidRDefault="008B4DF6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SOPSTVENOG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POGONA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IZGRAĐENI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DRVETA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JAHTE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REKREACIJU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SPORT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RAZONODU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RIBARSKE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B4DF6" w:rsidRPr="008966BC" w:rsidRDefault="008B4DF6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="001E4C64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4C64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ISPORUKE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NEMAJU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VAŽEĆA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IZDATA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PLOVIDBA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KONVENCIJAMA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USVOJENIM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UPISANI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8B4DF6" w:rsidRPr="008966BC" w:rsidRDefault="008B4DF6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ZABRANJEN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ULAZAK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LUKE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ČLANICA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DOMAĆI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POMORSKIH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B4DF6" w:rsidRPr="008966BC" w:rsidRDefault="008B4DF6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ZADRŽANI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INSPEKCIJSKE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LUČKIH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LUCI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DRŽAVA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POTPISNICA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PARISKOG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MEMORANDUMA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RAZUMEVANJU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LUKE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USVOJENOG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1982.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ZAGAĐENJA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GRADNJOM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OPREMANJEM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KONVENCIJAMA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916F3F" w:rsidRPr="008966BC" w:rsidRDefault="008B4DF6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PUTNIČKE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REDOVNIM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REDOVNIM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LINIJAMA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ZAHTEVE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PUTNIČKE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JEDANPUT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POMORSKIH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A62510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2510" w:rsidRPr="008966BC" w:rsidRDefault="008966BC" w:rsidP="00A625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144.</w:t>
      </w:r>
    </w:p>
    <w:p w:rsidR="00A62510" w:rsidRPr="008966BC" w:rsidRDefault="008966BC" w:rsidP="00A62510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zastarelosti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dejstva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trećih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pouzdajući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postigla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uknjiženje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stigao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pravosnažnom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presudom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tužilac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održajem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stekao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održajem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prvenstveni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protivrečnosti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brisaće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shodno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A62510" w:rsidP="00A625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2510" w:rsidRPr="008966BC" w:rsidRDefault="008966BC" w:rsidP="00A625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146.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protekne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prestanka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važenja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pomorskog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propao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pretpostavlja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propao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saglasne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brodara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opoziva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domaći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41, 42, 43, 45, 47, 55.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jahte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trajno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povlači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plovidbe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otuđenja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stranog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ogranak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62510" w:rsidRPr="008966BC" w:rsidRDefault="00A62510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upiše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domaći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Pretpostavlja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prijema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vesti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protekla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pretpostavlja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primljene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vesti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njemu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neotklonjenim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nedostacima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upiše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domaćeg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shodno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jahti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jahti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jahti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jahti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8B4DF6" w:rsidRPr="008966BC" w:rsidRDefault="008B4DF6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737D41" w:rsidRPr="008966BC" w:rsidRDefault="00737D41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427710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42771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151.</w:t>
      </w:r>
      <w:r w:rsidR="00737D4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737D41" w:rsidRPr="008966BC" w:rsidRDefault="00737D41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427710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Ako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bio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brisan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brodova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zbog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toga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što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propao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ili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pretpostavljalo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propao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ili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zbog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toga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što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trajno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povučen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plovidbe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ili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ako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drugih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razloga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brisan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ili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zbog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toga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što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bio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proglašen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ratnim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odnosno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pomorskim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plenom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ponovo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upisuje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brodova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organ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vodi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će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doneti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rešenje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ponovnom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svim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onim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podacima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upisanim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pravima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kojima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ranije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bio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upisan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važili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času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brisanja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tome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obavestiti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vlasnika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sva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ostala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lica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čiju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korist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je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bilo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upisano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neko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pravo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brodu</w:t>
      </w:r>
      <w:r w:rsidR="00427710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.</w:t>
      </w:r>
    </w:p>
    <w:p w:rsidR="008B4DF6" w:rsidRPr="008966BC" w:rsidRDefault="008966BC" w:rsidP="00191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PROPAO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PRETPOSTAVLJALO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PROPAO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RAZLOGA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PROGLAŠEN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RATNIM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PLENOM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DONETI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ONIM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PODACIMA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PRAVIMA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8B4DF6" w:rsidRPr="008966BC">
        <w:rPr>
          <w:rFonts w:ascii="Verdana" w:eastAsia="Times New Roman" w:hAnsi="Verdana" w:cs="Times New Roman"/>
          <w:noProof/>
          <w:color w:val="000000"/>
          <w:sz w:val="18"/>
          <w:szCs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RANIJE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VAŽILI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ČASU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TOME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OBAVESTITI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OSTALA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ČIJU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BILO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NEKO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8B4DF6" w:rsidRPr="008966BC" w:rsidRDefault="008966BC" w:rsidP="00191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BROD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DOMAĆEG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UPIŠE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UTVRĐUJE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NAJVIŠA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DOPUŠTENA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STAROST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JEDAN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8B4DF6" w:rsidRPr="008966BC" w:rsidRDefault="008966BC" w:rsidP="00191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DOMAĆEG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TRAJNOG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POVLAČENJA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PLUTAJUĆIH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UPIŠE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PROMENIO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NAMENU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UTVRĐENO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SPOSOBAN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UTVRĐENA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USLOVOM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UTVRĐUJE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NAJVIŠA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DOPUŠTENA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STAROST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JEDAN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8B4DF6" w:rsidRPr="008966BC" w:rsidRDefault="008966BC" w:rsidP="0019102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0569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DOZVOLIĆE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BF600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F600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PONOVNI</w:t>
      </w:r>
      <w:r w:rsidR="00BF600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BF600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PRILOŽENE</w:t>
      </w:r>
      <w:r w:rsidR="00BF600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– 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16F3F" w:rsidRPr="008966BC" w:rsidRDefault="008966BC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PONOVNI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="0060569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DOZVOLIĆE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="008B4DF6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BRODOVA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PRILOŽENE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– 8)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16666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8B4DF6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A62510" w:rsidP="00A625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62510" w:rsidRPr="008966BC" w:rsidRDefault="008966BC" w:rsidP="00A6251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152.</w:t>
      </w:r>
    </w:p>
    <w:p w:rsidR="00A62510" w:rsidRPr="008966BC" w:rsidRDefault="008966BC" w:rsidP="00A6251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čamaca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plutajućih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shodno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brisanje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čamaca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plutajućih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objekata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izgradnji</w:t>
      </w:r>
      <w:r w:rsidR="00A6251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62510" w:rsidRPr="008966BC" w:rsidRDefault="00A62510" w:rsidP="00A6251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40877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158.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vrši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16462" w:rsidRPr="008966BC" w:rsidRDefault="008966BC" w:rsidP="00516462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ODLUKOM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SUDA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ODUZETOM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IMOVINOM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ODUZIMANJE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IMOVINE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PROISTEKLE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KRIVIČNOG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516462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PLOVILO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DATO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2D40EE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nadležnoj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lučkoj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plutajućih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sprovodi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registrator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posle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sprovedenog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registrator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potpisuje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sproveo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dužan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nadležnoj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lučkoj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svaku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unose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nastanka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promene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TOME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SLUŽBENA</w:t>
      </w:r>
      <w:r w:rsidR="002F76E0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EVIDENCIJA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upise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podnosilac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plaća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republičku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administrativnu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taksu</w:t>
      </w:r>
      <w:r w:rsidR="00C40877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C40877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555EED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159.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uz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dokazuje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kupoprodaji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poklonu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nasleđivanju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kupovini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svedočanstvo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izvršiti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javne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);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dokazuje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pogonskom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motoru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kupoprodaji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ugovor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poklonu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nasleđivanju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kupovini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izvršiti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svojine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javne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knjige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);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carinsku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deklaraciju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motor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uređaj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uvezeni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izvršenom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pregledu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baždarenju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dokumentaciju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proizvođača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EU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deklaraciju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usaglašenosti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CE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dokumentaciju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stavljanje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proizvoda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tržište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uvezeni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);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prepis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polise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zaključenom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obaveznom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osiguranju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obavezno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osiguranje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saobraćaju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;</w:t>
      </w:r>
    </w:p>
    <w:p w:rsidR="00555EED" w:rsidRPr="008966BC" w:rsidRDefault="00555EED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9)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dokaz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izmirenim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poreskim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obavezama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odnose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čamce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plutajuće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objekte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skladu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zakonom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kojim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uređuju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porezi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.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ISPRAVU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KOJOM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DOKAZUJE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ČAMCU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PLUTAJUĆEM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35BB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SVEDOČANSTVA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235BB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RAČUNE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KUPOVINI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ODGOVARAJUĆIH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NEOPHODNIH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GRADNJU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555EE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tačka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samo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izgrađeni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stavljaju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tržište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podnet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građeni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vršenja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osnovnog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pregleda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utvrditi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odredbama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tehničkih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uređuju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postupci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ocene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podnet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prvi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svrhe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građeni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Uprava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utvrđivanje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sposobnosti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Uprava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vršenja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osnovnog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pregleda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utvrditi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odredbama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tehničkih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uređuju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postupci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ocene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>Uz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fotokopije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dokumenata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55EED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Isprave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tač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dokazuje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svojine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plutajućem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pogonskom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uređaju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motoru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osim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računa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kupovini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moraju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overene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strane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nadležnog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overu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potpisa</w:t>
      </w:r>
      <w:r w:rsidR="00555EED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C40877" w:rsidRPr="008966BC" w:rsidRDefault="00C40877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C2579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166.</w:t>
      </w:r>
    </w:p>
    <w:p w:rsidR="003C2579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plutajućih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propao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pretpostavljalo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propao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toga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trajno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povučen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razloga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plutajućih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doneti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ponovnom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svim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onim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podacima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upisanim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ranije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važili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času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brisanja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tome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obavestiti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ostala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čiju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korist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bilo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neko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C2579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Vlasnik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građenog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ranijim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propisima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izjave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samogradnji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zadržava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pogledu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osnova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bude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prilikom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podnošenja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produženje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registracije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ponovni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stupanja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podnese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lučkoj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odgovarajuću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dokumentaciju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kojom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potvrđuje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ispunjava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zahteve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odredbama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tehničkih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uređuju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postupci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ocene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usklađenosti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projekta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gradnje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izgradnje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="003C2579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C2579" w:rsidRPr="008966BC" w:rsidRDefault="008966BC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PONOVNI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ČAMCA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PLUTAJUĆEG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OBJEKTA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UPISAN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ISPRAVE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1), 2), 4),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8).</w:t>
      </w:r>
    </w:p>
    <w:p w:rsidR="008B4DF6" w:rsidRPr="008966BC" w:rsidRDefault="008B4DF6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173D" w:rsidRPr="008966BC" w:rsidRDefault="00EC173D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173D" w:rsidRPr="008966BC" w:rsidRDefault="00EC173D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579" w:rsidRPr="008966BC" w:rsidRDefault="008966BC" w:rsidP="0019102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PRESTUPI</w:t>
      </w:r>
    </w:p>
    <w:p w:rsidR="003C2579" w:rsidRPr="008966BC" w:rsidRDefault="003C2579" w:rsidP="0019102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579" w:rsidRPr="008966BC" w:rsidRDefault="008966BC" w:rsidP="0019102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C257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184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2838D9" w:rsidRPr="008966BC" w:rsidRDefault="003C2579" w:rsidP="001910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1.000.000,00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PRIVREDNI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PRIVREDNO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ISTIČE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PREPRAVLJA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IMENA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ENI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BROJEVE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IMO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BROJEVE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REGISTARSKE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ZNAKOVE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RASPOZNAVANJA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DODELJENI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6B4E1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4E1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838D9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3C2579" w:rsidRPr="008966BC" w:rsidRDefault="002838D9" w:rsidP="001910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18565B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20.000,00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80.000,00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PRESTUP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838D9" w:rsidRPr="008966BC" w:rsidRDefault="002838D9" w:rsidP="0019102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F0463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185.</w:t>
      </w:r>
    </w:p>
    <w:p w:rsidR="00CF0463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Novčanom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kazniće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prekršaj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društvo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steklo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srpsku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pripadnost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zastavu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trgovačke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mornarice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trajanja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privremenog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zastavu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trgovačke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mornarice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nosi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identifikaciju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određene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pravilima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4); 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ENI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jedan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ribarski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nepokretna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platforma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pomorskih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brodova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izdat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privremeni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jahta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domaći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IMO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čamac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objekat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registarski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identifikaciju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10)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sopstvenim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jahti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11)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bez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sopstvenog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pogona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tehničkog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nepokretne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platforme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registarski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identifikaciju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propisani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13)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unutrašnje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plovidbe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uređaj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pozivni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znak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14)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radio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uređaj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pozivni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znak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MMSI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13.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15)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jahta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nosi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16)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30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nastanka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podnese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vodi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predlog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24.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17)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pomorskom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original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registra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trajnog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zapisa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CF0463" w:rsidRPr="008966BC" w:rsidRDefault="00CF0463" w:rsidP="0019102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17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ODMAH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PISMENIM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LUČKU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KAPETANIJU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UPISNIK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UPISAN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PROMENI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PRESTANKU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BRODSKO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SVEDOČANSTVO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18)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unose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5);</w:t>
      </w:r>
    </w:p>
    <w:p w:rsidR="00CF0463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prekršaj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kazniće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odgovorno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privrednom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društvu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drugom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pravnom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licu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novčanom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F76E0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F76E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B211F" w:rsidRPr="008966BC" w:rsidRDefault="009B211F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CF0463" w:rsidRPr="008966BC" w:rsidRDefault="008966BC" w:rsidP="001910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186.</w:t>
      </w:r>
    </w:p>
    <w:p w:rsidR="00CF0463" w:rsidRPr="008966BC" w:rsidRDefault="008966BC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Novčanom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kaznom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kazniće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prekršaj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zapovednik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ga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zamenjuje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CF0463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steklo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srpsku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pripadnost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zastavu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trgovačke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mornarice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vije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zastavu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trgovačke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mornarice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izlaska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zalaska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sunca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4);</w:t>
      </w:r>
    </w:p>
    <w:p w:rsidR="00CF0463" w:rsidRPr="008966BC" w:rsidRDefault="00CF0463" w:rsidP="00191025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3)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brodu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nakit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praznike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kad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odredi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organ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9B211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9B211F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5);</w:t>
      </w:r>
    </w:p>
    <w:p w:rsidR="009B211F" w:rsidRPr="008966BC" w:rsidRDefault="008B4DF6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ISTAKNE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PREPRAVLJENO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ZAMENJENO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OZNAKE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ENI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IMO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REGISTARSKE</w:t>
      </w:r>
      <w:r w:rsidR="001E4C64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BROJEVE</w:t>
      </w:r>
      <w:r w:rsidR="001E4C64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ZNAKOVE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RASPOZNAVANJA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DODELJENI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6B4E1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6B4E1D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8E5CC1" w:rsidRPr="008966BC" w:rsidRDefault="008E5CC1" w:rsidP="00191025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37D41" w:rsidRPr="008966BC" w:rsidRDefault="008E5CC1" w:rsidP="001528B0">
      <w:pPr>
        <w:spacing w:after="0" w:line="240" w:lineRule="auto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</w:t>
      </w:r>
      <w:r w:rsid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Član</w:t>
      </w:r>
      <w:r w:rsidR="00304C52"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 xml:space="preserve"> 187</w:t>
      </w:r>
      <w:r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.</w:t>
      </w:r>
    </w:p>
    <w:p w:rsidR="00737D41" w:rsidRPr="008966BC" w:rsidRDefault="008966BC" w:rsidP="00737D4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Novčanom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kaznom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od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10.000,00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do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80.000,00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dinara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kazniće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za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prekršaj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fizičko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lice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ako</w:t>
      </w:r>
      <w:r w:rsidR="00737D41"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:</w:t>
      </w:r>
    </w:p>
    <w:p w:rsidR="00737D41" w:rsidRPr="008966BC" w:rsidRDefault="00737D41" w:rsidP="00737D4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1)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plovilu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istaknuto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2);</w:t>
      </w:r>
    </w:p>
    <w:p w:rsidR="00737D41" w:rsidRPr="008966BC" w:rsidRDefault="00737D41" w:rsidP="00737D4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2)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ako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čamcu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plutajućem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objektu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istaknut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registarski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identifikaciju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3);</w:t>
      </w:r>
    </w:p>
    <w:p w:rsidR="00737D41" w:rsidRPr="008966BC" w:rsidRDefault="00737D41" w:rsidP="001528B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  <w:t>3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)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prijavi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nadležnoj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lučkoj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kapetaniji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svaku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promenu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podataka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unose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158. </w:t>
      </w:r>
      <w:r w:rsid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5).</w:t>
      </w:r>
    </w:p>
    <w:p w:rsidR="001528B0" w:rsidRPr="008966BC" w:rsidRDefault="001528B0" w:rsidP="001528B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</w:p>
    <w:p w:rsidR="001528B0" w:rsidRPr="008966BC" w:rsidRDefault="001528B0" w:rsidP="001528B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strike/>
          <w:noProof/>
          <w:color w:val="000000"/>
          <w:sz w:val="24"/>
          <w:szCs w:val="24"/>
          <w:lang w:val="sr-Latn-CS"/>
        </w:rPr>
      </w:pPr>
    </w:p>
    <w:p w:rsidR="001528B0" w:rsidRPr="008966BC" w:rsidRDefault="008966BC" w:rsidP="001528B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1528B0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187.</w:t>
      </w:r>
    </w:p>
    <w:p w:rsidR="008E5CC1" w:rsidRPr="008966BC" w:rsidRDefault="008966BC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NOVČANOM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KAZNOM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80.000,00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DINARA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KAZNIĆE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PREKRŠAJ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FIZIČKO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LICE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AKO</w:t>
      </w:r>
      <w:r w:rsidR="008E5CC1"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8E5CC1" w:rsidRPr="008966BC" w:rsidRDefault="00513A2C" w:rsidP="008E5CC1">
      <w:pPr>
        <w:spacing w:after="0" w:line="240" w:lineRule="auto"/>
        <w:ind w:firstLine="47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UPRAVLJA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BRODOM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ISTAKNUTO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PREPRAVLJENO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ZAMENJENO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OZNAKA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ENI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IMO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REGISTARSKI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IDENTIFIKACIJU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ZNAKOVI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RASPOZNAVANJA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TEHNIČKIM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ODREĐENA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PLOVILIMA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8966B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E5CC1" w:rsidRPr="008966BC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8E5CC1" w:rsidRPr="008966BC" w:rsidRDefault="008E5CC1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PLOVILU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IME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ILI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OZNAKU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1.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2);</w:t>
      </w:r>
    </w:p>
    <w:p w:rsidR="008E5CC1" w:rsidRPr="008966BC" w:rsidRDefault="008E5CC1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ČAMCU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PLUTAJUĆEM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OBJEKTU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NEMA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ISTAKNUT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REGISTARSKI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IDENTIFIKACIJU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12.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3);</w:t>
      </w:r>
    </w:p>
    <w:p w:rsidR="008E5CC1" w:rsidRPr="008966BC" w:rsidRDefault="008E5CC1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4)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PRIJAVI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NADLEŽNOJ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LUČKOJ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KAPETANIJI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SVAKU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PROMENU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PODATAKA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UNOSE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UPISNIK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158. </w:t>
      </w:r>
      <w:r w:rsid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896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5).</w:t>
      </w:r>
    </w:p>
    <w:p w:rsidR="001E4C64" w:rsidRPr="008966BC" w:rsidRDefault="001E4C64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1E4C64" w:rsidRPr="008966BC" w:rsidRDefault="001E4C64" w:rsidP="008E5CC1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DC08FD" w:rsidRPr="008966BC" w:rsidRDefault="00DC08FD" w:rsidP="00CE01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</w:pPr>
    </w:p>
    <w:sectPr w:rsidR="00DC08FD" w:rsidRPr="008966BC" w:rsidSect="0061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9D" w:rsidRDefault="00CA7E9D" w:rsidP="00610958">
      <w:pPr>
        <w:spacing w:after="0" w:line="240" w:lineRule="auto"/>
      </w:pPr>
      <w:r>
        <w:separator/>
      </w:r>
    </w:p>
  </w:endnote>
  <w:endnote w:type="continuationSeparator" w:id="0">
    <w:p w:rsidR="00CA7E9D" w:rsidRDefault="00CA7E9D" w:rsidP="0061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8" w:rsidRDefault="0061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27922000"/>
      <w:docPartObj>
        <w:docPartGallery w:val="Page Numbers (Bottom of Page)"/>
        <w:docPartUnique/>
      </w:docPartObj>
    </w:sdtPr>
    <w:sdtEndPr/>
    <w:sdtContent>
      <w:p w:rsidR="00610958" w:rsidRPr="008966BC" w:rsidRDefault="00610958">
        <w:pPr>
          <w:pStyle w:val="Footer"/>
          <w:jc w:val="right"/>
          <w:rPr>
            <w:noProof/>
            <w:lang w:val="sr-Latn-CS"/>
          </w:rPr>
        </w:pPr>
        <w:r w:rsidRPr="008966BC">
          <w:rPr>
            <w:noProof/>
            <w:lang w:val="sr-Latn-CS"/>
          </w:rPr>
          <w:fldChar w:fldCharType="begin"/>
        </w:r>
        <w:r w:rsidRPr="008966BC">
          <w:rPr>
            <w:noProof/>
            <w:lang w:val="sr-Latn-CS"/>
          </w:rPr>
          <w:instrText xml:space="preserve"> PAGE   \* MERGEFORMAT </w:instrText>
        </w:r>
        <w:r w:rsidRPr="008966BC">
          <w:rPr>
            <w:noProof/>
            <w:lang w:val="sr-Latn-CS"/>
          </w:rPr>
          <w:fldChar w:fldCharType="separate"/>
        </w:r>
        <w:r w:rsidR="008966BC">
          <w:rPr>
            <w:noProof/>
            <w:lang w:val="sr-Latn-CS"/>
          </w:rPr>
          <w:t>2</w:t>
        </w:r>
        <w:r w:rsidRPr="008966BC">
          <w:rPr>
            <w:noProof/>
            <w:lang w:val="sr-Latn-CS"/>
          </w:rPr>
          <w:fldChar w:fldCharType="end"/>
        </w:r>
      </w:p>
    </w:sdtContent>
  </w:sdt>
  <w:p w:rsidR="00610958" w:rsidRPr="008966BC" w:rsidRDefault="0061095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8" w:rsidRDefault="0061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9D" w:rsidRDefault="00CA7E9D" w:rsidP="00610958">
      <w:pPr>
        <w:spacing w:after="0" w:line="240" w:lineRule="auto"/>
      </w:pPr>
      <w:r>
        <w:separator/>
      </w:r>
    </w:p>
  </w:footnote>
  <w:footnote w:type="continuationSeparator" w:id="0">
    <w:p w:rsidR="00CA7E9D" w:rsidRDefault="00CA7E9D" w:rsidP="0061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8" w:rsidRDefault="0061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8" w:rsidRDefault="00610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8" w:rsidRDefault="00610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95"/>
    <w:multiLevelType w:val="hybridMultilevel"/>
    <w:tmpl w:val="42DC4E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8B3"/>
    <w:multiLevelType w:val="hybridMultilevel"/>
    <w:tmpl w:val="7BA2939A"/>
    <w:lvl w:ilvl="0" w:tplc="0E22A52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94E02"/>
    <w:multiLevelType w:val="hybridMultilevel"/>
    <w:tmpl w:val="9C7CEECC"/>
    <w:lvl w:ilvl="0" w:tplc="31E227E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01F60D2"/>
    <w:multiLevelType w:val="hybridMultilevel"/>
    <w:tmpl w:val="35DC8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496E"/>
    <w:multiLevelType w:val="hybridMultilevel"/>
    <w:tmpl w:val="8674722E"/>
    <w:lvl w:ilvl="0" w:tplc="E230CF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56"/>
    <w:rsid w:val="000107E3"/>
    <w:rsid w:val="00022ABC"/>
    <w:rsid w:val="000276C5"/>
    <w:rsid w:val="00033C0A"/>
    <w:rsid w:val="0004474E"/>
    <w:rsid w:val="00054CDF"/>
    <w:rsid w:val="00065637"/>
    <w:rsid w:val="000848E5"/>
    <w:rsid w:val="00086312"/>
    <w:rsid w:val="0009296F"/>
    <w:rsid w:val="000A0BD9"/>
    <w:rsid w:val="000A5C2A"/>
    <w:rsid w:val="000B495A"/>
    <w:rsid w:val="000B70B5"/>
    <w:rsid w:val="000B71E0"/>
    <w:rsid w:val="000C342A"/>
    <w:rsid w:val="000C6E09"/>
    <w:rsid w:val="000D035C"/>
    <w:rsid w:val="000D244A"/>
    <w:rsid w:val="000E34DA"/>
    <w:rsid w:val="001005CB"/>
    <w:rsid w:val="001136E6"/>
    <w:rsid w:val="00123965"/>
    <w:rsid w:val="00123F73"/>
    <w:rsid w:val="00124480"/>
    <w:rsid w:val="00125147"/>
    <w:rsid w:val="00135BE0"/>
    <w:rsid w:val="001528B0"/>
    <w:rsid w:val="00154273"/>
    <w:rsid w:val="0016666D"/>
    <w:rsid w:val="00166989"/>
    <w:rsid w:val="001756D3"/>
    <w:rsid w:val="0018283F"/>
    <w:rsid w:val="0018565B"/>
    <w:rsid w:val="001856FD"/>
    <w:rsid w:val="00191025"/>
    <w:rsid w:val="001925F9"/>
    <w:rsid w:val="00193351"/>
    <w:rsid w:val="001B7D74"/>
    <w:rsid w:val="001D3A57"/>
    <w:rsid w:val="001E0A96"/>
    <w:rsid w:val="001E352D"/>
    <w:rsid w:val="001E4C64"/>
    <w:rsid w:val="001F092C"/>
    <w:rsid w:val="001F422E"/>
    <w:rsid w:val="00205CC5"/>
    <w:rsid w:val="002144FA"/>
    <w:rsid w:val="00232F48"/>
    <w:rsid w:val="00235BB9"/>
    <w:rsid w:val="002409F3"/>
    <w:rsid w:val="0024758F"/>
    <w:rsid w:val="00255D79"/>
    <w:rsid w:val="00270542"/>
    <w:rsid w:val="00275033"/>
    <w:rsid w:val="00276FD8"/>
    <w:rsid w:val="002838D9"/>
    <w:rsid w:val="002A2AAF"/>
    <w:rsid w:val="002A3FC1"/>
    <w:rsid w:val="002A5C47"/>
    <w:rsid w:val="002B70AC"/>
    <w:rsid w:val="002C204E"/>
    <w:rsid w:val="002C5014"/>
    <w:rsid w:val="002C6A04"/>
    <w:rsid w:val="002C7E36"/>
    <w:rsid w:val="002D40EE"/>
    <w:rsid w:val="002D4639"/>
    <w:rsid w:val="002D6692"/>
    <w:rsid w:val="002F1C6A"/>
    <w:rsid w:val="002F3B3B"/>
    <w:rsid w:val="002F76E0"/>
    <w:rsid w:val="00304C52"/>
    <w:rsid w:val="0031151A"/>
    <w:rsid w:val="003138BD"/>
    <w:rsid w:val="003146DD"/>
    <w:rsid w:val="00330155"/>
    <w:rsid w:val="003305A9"/>
    <w:rsid w:val="00334820"/>
    <w:rsid w:val="0034197F"/>
    <w:rsid w:val="00341B56"/>
    <w:rsid w:val="00363E86"/>
    <w:rsid w:val="0037756C"/>
    <w:rsid w:val="0038551B"/>
    <w:rsid w:val="003B4DC9"/>
    <w:rsid w:val="003B5A63"/>
    <w:rsid w:val="003C2579"/>
    <w:rsid w:val="003C618B"/>
    <w:rsid w:val="003D520D"/>
    <w:rsid w:val="003F5EF5"/>
    <w:rsid w:val="003F7373"/>
    <w:rsid w:val="00401F2F"/>
    <w:rsid w:val="004216DF"/>
    <w:rsid w:val="00427710"/>
    <w:rsid w:val="00433837"/>
    <w:rsid w:val="00433AFE"/>
    <w:rsid w:val="0043672A"/>
    <w:rsid w:val="004418B6"/>
    <w:rsid w:val="00481F57"/>
    <w:rsid w:val="004863D5"/>
    <w:rsid w:val="00491E11"/>
    <w:rsid w:val="004A7D40"/>
    <w:rsid w:val="004B5C61"/>
    <w:rsid w:val="004B75DA"/>
    <w:rsid w:val="004C28CC"/>
    <w:rsid w:val="004C39CF"/>
    <w:rsid w:val="004C678B"/>
    <w:rsid w:val="004E26EA"/>
    <w:rsid w:val="00513A2C"/>
    <w:rsid w:val="00516356"/>
    <w:rsid w:val="00516462"/>
    <w:rsid w:val="005255DA"/>
    <w:rsid w:val="00530D4C"/>
    <w:rsid w:val="00530E62"/>
    <w:rsid w:val="00555EED"/>
    <w:rsid w:val="00563FED"/>
    <w:rsid w:val="00577F49"/>
    <w:rsid w:val="00586AC9"/>
    <w:rsid w:val="005B1851"/>
    <w:rsid w:val="005B597B"/>
    <w:rsid w:val="005B5DE2"/>
    <w:rsid w:val="005C11DE"/>
    <w:rsid w:val="005E3925"/>
    <w:rsid w:val="00605699"/>
    <w:rsid w:val="00610958"/>
    <w:rsid w:val="00612BBE"/>
    <w:rsid w:val="00643760"/>
    <w:rsid w:val="00663CBF"/>
    <w:rsid w:val="006779E2"/>
    <w:rsid w:val="00685457"/>
    <w:rsid w:val="00693BDE"/>
    <w:rsid w:val="006B4E1D"/>
    <w:rsid w:val="006C100B"/>
    <w:rsid w:val="006C55E8"/>
    <w:rsid w:val="006C76B6"/>
    <w:rsid w:val="006D1235"/>
    <w:rsid w:val="006F6863"/>
    <w:rsid w:val="007364E0"/>
    <w:rsid w:val="00737D41"/>
    <w:rsid w:val="0074497B"/>
    <w:rsid w:val="00757285"/>
    <w:rsid w:val="0077743C"/>
    <w:rsid w:val="007C1AC0"/>
    <w:rsid w:val="007C1EAA"/>
    <w:rsid w:val="007D7472"/>
    <w:rsid w:val="007E7D29"/>
    <w:rsid w:val="007F6A04"/>
    <w:rsid w:val="0080274C"/>
    <w:rsid w:val="0082218E"/>
    <w:rsid w:val="00822EE7"/>
    <w:rsid w:val="00823627"/>
    <w:rsid w:val="0082387D"/>
    <w:rsid w:val="00830A32"/>
    <w:rsid w:val="00837B20"/>
    <w:rsid w:val="00844087"/>
    <w:rsid w:val="0084496C"/>
    <w:rsid w:val="0085282D"/>
    <w:rsid w:val="00853634"/>
    <w:rsid w:val="00862997"/>
    <w:rsid w:val="00875E66"/>
    <w:rsid w:val="00877D9F"/>
    <w:rsid w:val="008819B9"/>
    <w:rsid w:val="008966BC"/>
    <w:rsid w:val="008B2C35"/>
    <w:rsid w:val="008B4613"/>
    <w:rsid w:val="008B4DF6"/>
    <w:rsid w:val="008E5CC1"/>
    <w:rsid w:val="00916F3F"/>
    <w:rsid w:val="009379F3"/>
    <w:rsid w:val="00943288"/>
    <w:rsid w:val="00980DC8"/>
    <w:rsid w:val="0098748F"/>
    <w:rsid w:val="00992EDA"/>
    <w:rsid w:val="009A7A5C"/>
    <w:rsid w:val="009B211F"/>
    <w:rsid w:val="009B6A49"/>
    <w:rsid w:val="009C47E3"/>
    <w:rsid w:val="009D241B"/>
    <w:rsid w:val="009D65FA"/>
    <w:rsid w:val="009F34D5"/>
    <w:rsid w:val="00A03DAD"/>
    <w:rsid w:val="00A0526B"/>
    <w:rsid w:val="00A11572"/>
    <w:rsid w:val="00A21E58"/>
    <w:rsid w:val="00A250DF"/>
    <w:rsid w:val="00A25892"/>
    <w:rsid w:val="00A27195"/>
    <w:rsid w:val="00A35971"/>
    <w:rsid w:val="00A44F75"/>
    <w:rsid w:val="00A46DAE"/>
    <w:rsid w:val="00A47CDD"/>
    <w:rsid w:val="00A62510"/>
    <w:rsid w:val="00A810BC"/>
    <w:rsid w:val="00AA1C5C"/>
    <w:rsid w:val="00AB7B51"/>
    <w:rsid w:val="00AC3259"/>
    <w:rsid w:val="00AC7FB0"/>
    <w:rsid w:val="00AE45CD"/>
    <w:rsid w:val="00AE6EED"/>
    <w:rsid w:val="00B01609"/>
    <w:rsid w:val="00B16EED"/>
    <w:rsid w:val="00B22D27"/>
    <w:rsid w:val="00B4126E"/>
    <w:rsid w:val="00B43160"/>
    <w:rsid w:val="00B50E35"/>
    <w:rsid w:val="00B613F0"/>
    <w:rsid w:val="00B656F3"/>
    <w:rsid w:val="00B77A6F"/>
    <w:rsid w:val="00B863E4"/>
    <w:rsid w:val="00B957A6"/>
    <w:rsid w:val="00BA1766"/>
    <w:rsid w:val="00BB5B6D"/>
    <w:rsid w:val="00BF0A9C"/>
    <w:rsid w:val="00BF3AE7"/>
    <w:rsid w:val="00BF6009"/>
    <w:rsid w:val="00C01DC0"/>
    <w:rsid w:val="00C146D9"/>
    <w:rsid w:val="00C40877"/>
    <w:rsid w:val="00C42C21"/>
    <w:rsid w:val="00C44B3A"/>
    <w:rsid w:val="00C66468"/>
    <w:rsid w:val="00C71860"/>
    <w:rsid w:val="00C759C8"/>
    <w:rsid w:val="00C77DEB"/>
    <w:rsid w:val="00C904A2"/>
    <w:rsid w:val="00CA18BE"/>
    <w:rsid w:val="00CA7E9D"/>
    <w:rsid w:val="00CB0478"/>
    <w:rsid w:val="00CD5476"/>
    <w:rsid w:val="00CE01BB"/>
    <w:rsid w:val="00CE2E89"/>
    <w:rsid w:val="00CF0463"/>
    <w:rsid w:val="00D00C2F"/>
    <w:rsid w:val="00D0302B"/>
    <w:rsid w:val="00D03586"/>
    <w:rsid w:val="00D03F71"/>
    <w:rsid w:val="00D12CEA"/>
    <w:rsid w:val="00D15F64"/>
    <w:rsid w:val="00D17035"/>
    <w:rsid w:val="00D378FA"/>
    <w:rsid w:val="00D46049"/>
    <w:rsid w:val="00D810F5"/>
    <w:rsid w:val="00DA4D19"/>
    <w:rsid w:val="00DB2D62"/>
    <w:rsid w:val="00DB31AC"/>
    <w:rsid w:val="00DB385A"/>
    <w:rsid w:val="00DB586F"/>
    <w:rsid w:val="00DC08FD"/>
    <w:rsid w:val="00DD163F"/>
    <w:rsid w:val="00DE724D"/>
    <w:rsid w:val="00DF2E2D"/>
    <w:rsid w:val="00E1041E"/>
    <w:rsid w:val="00E11E72"/>
    <w:rsid w:val="00E17FF3"/>
    <w:rsid w:val="00E258A5"/>
    <w:rsid w:val="00E30010"/>
    <w:rsid w:val="00E82A3C"/>
    <w:rsid w:val="00E93178"/>
    <w:rsid w:val="00EA09A7"/>
    <w:rsid w:val="00EA3428"/>
    <w:rsid w:val="00EC173D"/>
    <w:rsid w:val="00EC181C"/>
    <w:rsid w:val="00ED34D4"/>
    <w:rsid w:val="00EE758D"/>
    <w:rsid w:val="00F03A97"/>
    <w:rsid w:val="00F169EE"/>
    <w:rsid w:val="00F215D3"/>
    <w:rsid w:val="00F3364F"/>
    <w:rsid w:val="00F40110"/>
    <w:rsid w:val="00F428A3"/>
    <w:rsid w:val="00F46AD0"/>
    <w:rsid w:val="00F54EE7"/>
    <w:rsid w:val="00F604B2"/>
    <w:rsid w:val="00F77513"/>
    <w:rsid w:val="00F77538"/>
    <w:rsid w:val="00F86FA7"/>
    <w:rsid w:val="00F90989"/>
    <w:rsid w:val="00F946FD"/>
    <w:rsid w:val="00FA7436"/>
    <w:rsid w:val="00FB2B37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8E4D0-ED33-4257-8CEE-0216729B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5F64"/>
  </w:style>
  <w:style w:type="paragraph" w:customStyle="1" w:styleId="msonormal0">
    <w:name w:val="msonormal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5F64"/>
  </w:style>
  <w:style w:type="character" w:customStyle="1" w:styleId="auto-style1">
    <w:name w:val="auto-style1"/>
    <w:basedOn w:val="DefaultParagraphFont"/>
    <w:rsid w:val="00D15F64"/>
  </w:style>
  <w:style w:type="paragraph" w:styleId="NormalWeb">
    <w:name w:val="Normal (Web)"/>
    <w:basedOn w:val="Normal"/>
    <w:uiPriority w:val="99"/>
    <w:semiHidden/>
    <w:unhideWhenUsed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F64"/>
    <w:rPr>
      <w:i/>
      <w:iCs/>
    </w:rPr>
  </w:style>
  <w:style w:type="character" w:customStyle="1" w:styleId="v2-clan-left-1">
    <w:name w:val="v2-clan-left-1"/>
    <w:basedOn w:val="DefaultParagraphFont"/>
    <w:rsid w:val="00D15F64"/>
  </w:style>
  <w:style w:type="paragraph" w:customStyle="1" w:styleId="v2-clan-left-11">
    <w:name w:val="v2-clan-left-11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1">
    <w:name w:val="v2-clan-1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3">
    <w:name w:val="v2-clan-left-3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1">
    <w:name w:val="hide-change1"/>
    <w:basedOn w:val="DefaultParagraphFont"/>
    <w:rsid w:val="00D15F64"/>
  </w:style>
  <w:style w:type="character" w:customStyle="1" w:styleId="v2-clan-left-2">
    <w:name w:val="v2-clan-left-2"/>
    <w:basedOn w:val="DefaultParagraphFont"/>
    <w:rsid w:val="00D15F64"/>
  </w:style>
  <w:style w:type="character" w:customStyle="1" w:styleId="v2-clan-11">
    <w:name w:val="v2-clan-11"/>
    <w:basedOn w:val="DefaultParagraphFont"/>
    <w:rsid w:val="00D15F64"/>
  </w:style>
  <w:style w:type="paragraph" w:customStyle="1" w:styleId="v2-bold-1">
    <w:name w:val="v2-bold-1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D15F64"/>
  </w:style>
  <w:style w:type="paragraph" w:customStyle="1" w:styleId="v2-clan-left-21">
    <w:name w:val="v2-clan-left-21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italik-1">
    <w:name w:val="v2-italik-1"/>
    <w:basedOn w:val="Normal"/>
    <w:rsid w:val="00D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31">
    <w:name w:val="v2-clan-left-31"/>
    <w:basedOn w:val="DefaultParagraphFont"/>
    <w:rsid w:val="00D15F64"/>
  </w:style>
  <w:style w:type="character" w:styleId="Strong">
    <w:name w:val="Strong"/>
    <w:basedOn w:val="DefaultParagraphFont"/>
    <w:uiPriority w:val="22"/>
    <w:qFormat/>
    <w:rsid w:val="00D15F64"/>
    <w:rPr>
      <w:b/>
      <w:bCs/>
    </w:rPr>
  </w:style>
  <w:style w:type="paragraph" w:styleId="ListParagraph">
    <w:name w:val="List Paragraph"/>
    <w:basedOn w:val="Normal"/>
    <w:uiPriority w:val="34"/>
    <w:qFormat/>
    <w:rsid w:val="0037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9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BD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58"/>
  </w:style>
  <w:style w:type="paragraph" w:styleId="Footer">
    <w:name w:val="footer"/>
    <w:basedOn w:val="Normal"/>
    <w:link w:val="FooterChar"/>
    <w:uiPriority w:val="99"/>
    <w:unhideWhenUsed/>
    <w:rsid w:val="0061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C749-EA5C-4513-A47C-FED79F6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Konjevic</dc:creator>
  <cp:keywords/>
  <dc:description/>
  <cp:lastModifiedBy>Bojan Grgic</cp:lastModifiedBy>
  <cp:revision>2</cp:revision>
  <cp:lastPrinted>2018-09-21T12:11:00Z</cp:lastPrinted>
  <dcterms:created xsi:type="dcterms:W3CDTF">2018-09-21T13:21:00Z</dcterms:created>
  <dcterms:modified xsi:type="dcterms:W3CDTF">2018-09-21T13:21:00Z</dcterms:modified>
</cp:coreProperties>
</file>